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54" w:rsidRDefault="00A26A0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Perranporth CP School</w:t>
      </w:r>
    </w:p>
    <w:p w:rsidR="00B25454" w:rsidRDefault="00060DA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5C771D">
        <w:rPr>
          <w:b/>
          <w:sz w:val="24"/>
          <w:szCs w:val="24"/>
          <w:u w:val="single"/>
        </w:rPr>
        <w:t>END Information Report 2021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>Name of SENco: Nadia Lampier</w:t>
      </w:r>
      <w:r w:rsidR="00060DA4">
        <w:rPr>
          <w:sz w:val="24"/>
          <w:szCs w:val="24"/>
        </w:rPr>
        <w:t xml:space="preserve"> Dedicated time weekly: 8 </w:t>
      </w:r>
      <w:r>
        <w:rPr>
          <w:sz w:val="24"/>
          <w:szCs w:val="24"/>
        </w:rPr>
        <w:t>hrs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>Contact email:nlampier@perranporth.cornwall.sch.uk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>Contact Phone Number: 01872572021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>Name of Special Educational Needs (SEN) Governor: Helen Goodey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>School offer link:</w:t>
      </w: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Whole School Approach to Teaching and Learning:</w:t>
      </w:r>
    </w:p>
    <w:p w:rsidR="00B25454" w:rsidRDefault="00A26A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 quality teaching and learning – All teachers are r</w:t>
      </w:r>
      <w:r w:rsidR="00D041B3">
        <w:rPr>
          <w:sz w:val="24"/>
          <w:szCs w:val="24"/>
        </w:rPr>
        <w:t xml:space="preserve">esponsible for the learning and </w:t>
      </w:r>
      <w:r>
        <w:rPr>
          <w:sz w:val="24"/>
          <w:szCs w:val="24"/>
        </w:rPr>
        <w:t>progress of every child in their class, including those with SEN.</w:t>
      </w:r>
    </w:p>
    <w:p w:rsidR="00B25454" w:rsidRDefault="00A26A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 inclusive, differentiated and personalised curriculum to enable all learners, including those with SEN, to enable them to effectively engage with all aspects of school life. </w:t>
      </w: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Our Graduated Response for Pupils:</w:t>
      </w:r>
    </w:p>
    <w:p w:rsidR="00B25454" w:rsidRDefault="00A26A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Monitoring of the quality of teaching and learning</w:t>
      </w:r>
    </w:p>
    <w:p w:rsidR="00B25454" w:rsidRDefault="00A26A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Identifying and tracking progress of children that require additional support ‘on Alert’</w:t>
      </w:r>
    </w:p>
    <w:p w:rsidR="00B25454" w:rsidRDefault="00A26A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Identification and tracking of children requiring SEN Support and engagement in the ‘assess, plan, do, review’ cycle.</w:t>
      </w:r>
    </w:p>
    <w:p w:rsidR="00B25454" w:rsidRDefault="00A26A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Liaise with parents/pupil/outside agencies for consideration of an application for an Education, Health and Care Plan (EHCP). </w:t>
      </w:r>
    </w:p>
    <w:p w:rsidR="00B25454" w:rsidRDefault="00A26A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children receiving SEN Support, or with a Statement/EHCP are identified on our Record of Need. </w:t>
      </w: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we identify children that require additional of differentiated support/provision:</w:t>
      </w:r>
    </w:p>
    <w:p w:rsidR="00B25454" w:rsidRDefault="00A26A0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Class teacher refers to SENco</w:t>
      </w:r>
    </w:p>
    <w:p w:rsidR="00B25454" w:rsidRDefault="00A26A0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Ongoing assessment</w:t>
      </w:r>
    </w:p>
    <w:p w:rsidR="00B25454" w:rsidRDefault="00A26A0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Tracking pupil progress</w:t>
      </w:r>
    </w:p>
    <w:p w:rsidR="00B25454" w:rsidRDefault="00A26A0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Additional assessments by external agencies</w:t>
      </w: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we listen to the views of the children and their families: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25454">
        <w:tc>
          <w:tcPr>
            <w:tcW w:w="3005" w:type="dxa"/>
          </w:tcPr>
          <w:p w:rsidR="00B25454" w:rsidRDefault="00A26A0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What</w:t>
            </w:r>
          </w:p>
        </w:tc>
        <w:tc>
          <w:tcPr>
            <w:tcW w:w="3005" w:type="dxa"/>
          </w:tcPr>
          <w:p w:rsidR="00B25454" w:rsidRDefault="00A26A0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Who</w:t>
            </w:r>
          </w:p>
        </w:tc>
        <w:tc>
          <w:tcPr>
            <w:tcW w:w="3006" w:type="dxa"/>
          </w:tcPr>
          <w:p w:rsidR="00B25454" w:rsidRDefault="00A26A0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When</w:t>
            </w:r>
          </w:p>
        </w:tc>
      </w:tr>
      <w:tr w:rsidR="00B25454"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Parents’ Meeting</w:t>
            </w:r>
          </w:p>
        </w:tc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</w:t>
            </w:r>
          </w:p>
        </w:tc>
        <w:tc>
          <w:tcPr>
            <w:tcW w:w="3006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a term</w:t>
            </w:r>
          </w:p>
        </w:tc>
      </w:tr>
      <w:tr w:rsidR="00B25454"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Informal discussions</w:t>
            </w:r>
          </w:p>
        </w:tc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teacher/TA/SENCO</w:t>
            </w:r>
          </w:p>
        </w:tc>
        <w:tc>
          <w:tcPr>
            <w:tcW w:w="3006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B25454"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Home-school communication book</w:t>
            </w:r>
          </w:p>
        </w:tc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teacher/TA</w:t>
            </w:r>
          </w:p>
        </w:tc>
        <w:tc>
          <w:tcPr>
            <w:tcW w:w="3006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</w:t>
            </w:r>
          </w:p>
        </w:tc>
      </w:tr>
      <w:tr w:rsidR="00B25454"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Pupil/Parent interviews</w:t>
            </w:r>
          </w:p>
        </w:tc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SENco</w:t>
            </w:r>
          </w:p>
        </w:tc>
        <w:tc>
          <w:tcPr>
            <w:tcW w:w="3006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a year</w:t>
            </w:r>
          </w:p>
        </w:tc>
      </w:tr>
      <w:tr w:rsidR="00B25454"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Assess, plan, do, review meeting</w:t>
            </w:r>
          </w:p>
        </w:tc>
        <w:tc>
          <w:tcPr>
            <w:tcW w:w="3005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SENCo/Class teacher</w:t>
            </w:r>
          </w:p>
        </w:tc>
        <w:tc>
          <w:tcPr>
            <w:tcW w:w="3006" w:type="dxa"/>
          </w:tcPr>
          <w:p w:rsidR="00B25454" w:rsidRDefault="00A2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a term</w:t>
            </w:r>
          </w:p>
        </w:tc>
      </w:tr>
    </w:tbl>
    <w:p w:rsidR="00B25454" w:rsidRDefault="00B25454">
      <w:pPr>
        <w:rPr>
          <w:b/>
          <w:sz w:val="24"/>
          <w:szCs w:val="24"/>
          <w:u w:val="single"/>
        </w:rPr>
      </w:pP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Assess, Plan, Do, Review Cycle: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 xml:space="preserve">The children on the Record of Need will be part of a ‘Assess, Plan, Do, Review’ cycle. This will be instigated by the SENco, working alongside the child, their parents and the class teacher. Please see our SEN policy for more information. 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>This year, provision made for our children on the Record of Need has been:</w:t>
      </w:r>
    </w:p>
    <w:p w:rsidR="00B25454" w:rsidRDefault="00A26A0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Communication and Interaction – Speech and Language support</w:t>
      </w:r>
    </w:p>
    <w:p w:rsidR="00B25454" w:rsidRDefault="00A26A0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Cognition and Learning – dyslexia screening, differentiated activities, pre-teaching sessions</w:t>
      </w:r>
    </w:p>
    <w:p w:rsidR="00B25454" w:rsidRDefault="00A26A0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Social, Emotional and Mental Health – Support from the behaviour support service, observations by the Educational Psychologist. </w:t>
      </w:r>
    </w:p>
    <w:p w:rsidR="00B25454" w:rsidRDefault="00A26A0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Sensory and/or Physical Needs – Brainwave, specialist equipment, Occupational therapy. </w:t>
      </w:r>
    </w:p>
    <w:p w:rsidR="005C771D" w:rsidRPr="005C771D" w:rsidRDefault="005C771D" w:rsidP="005C771D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sz w:val="24"/>
          <w:szCs w:val="24"/>
        </w:rPr>
        <w:t xml:space="preserve">During the academic year 2020/2021 the school has </w:t>
      </w:r>
      <w:r w:rsidRPr="005C771D">
        <w:rPr>
          <w:rFonts w:eastAsia="Times New Roman" w:cstheme="minorHAnsi"/>
          <w:color w:val="222222"/>
          <w:sz w:val="24"/>
          <w:szCs w:val="24"/>
          <w:lang w:eastAsia="en-GB"/>
        </w:rPr>
        <w:t>24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 children on </w:t>
      </w:r>
      <w:r w:rsidRPr="005C771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SEN Support and 2 children with an EHCP.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502"/>
      </w:tblGrid>
      <w:tr w:rsidR="005C771D" w:rsidRPr="005C771D" w:rsidTr="005C771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1D" w:rsidRPr="005C771D" w:rsidRDefault="005C771D" w:rsidP="005C771D">
            <w:pPr>
              <w:spacing w:after="6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Symbol" w:eastAsia="Times New Roman" w:hAnsi="Symbol" w:cs="Calibri"/>
                <w:color w:val="202124"/>
                <w:sz w:val="20"/>
                <w:szCs w:val="20"/>
                <w:lang w:eastAsia="en-GB"/>
              </w:rPr>
              <w:t></w:t>
            </w:r>
            <w:r w:rsidRPr="005C771D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GB"/>
              </w:rPr>
              <w:t>        </w:t>
            </w:r>
            <w:r w:rsidRPr="005C771D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>Cognition and learning.</w:t>
            </w:r>
          </w:p>
          <w:p w:rsidR="005C771D" w:rsidRPr="005C771D" w:rsidRDefault="005C771D" w:rsidP="005C771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1D" w:rsidRPr="005C771D" w:rsidRDefault="005C771D" w:rsidP="005C771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Calibri" w:eastAsia="Times New Roman" w:hAnsi="Calibri" w:cs="Calibri"/>
                <w:color w:val="222222"/>
                <w:lang w:eastAsia="en-GB"/>
              </w:rPr>
              <w:t>20</w:t>
            </w:r>
          </w:p>
        </w:tc>
      </w:tr>
      <w:tr w:rsidR="005C771D" w:rsidRPr="005C771D" w:rsidTr="005C77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1D" w:rsidRPr="005C771D" w:rsidRDefault="005C771D" w:rsidP="005C771D">
            <w:pPr>
              <w:spacing w:after="6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Symbol" w:eastAsia="Times New Roman" w:hAnsi="Symbol" w:cs="Calibri"/>
                <w:color w:val="202124"/>
                <w:sz w:val="20"/>
                <w:szCs w:val="20"/>
                <w:lang w:eastAsia="en-GB"/>
              </w:rPr>
              <w:t></w:t>
            </w:r>
            <w:r w:rsidRPr="005C771D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GB"/>
              </w:rPr>
              <w:t>        </w:t>
            </w:r>
            <w:r w:rsidRPr="005C771D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>Communication and interaction.</w:t>
            </w:r>
          </w:p>
          <w:p w:rsidR="005C771D" w:rsidRPr="005C771D" w:rsidRDefault="005C771D" w:rsidP="005C771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1D" w:rsidRPr="005C771D" w:rsidRDefault="005C771D" w:rsidP="005C771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Calibri" w:eastAsia="Times New Roman" w:hAnsi="Calibri" w:cs="Calibri"/>
                <w:color w:val="222222"/>
                <w:lang w:eastAsia="en-GB"/>
              </w:rPr>
              <w:t>4</w:t>
            </w:r>
          </w:p>
        </w:tc>
      </w:tr>
      <w:tr w:rsidR="005C771D" w:rsidRPr="005C771D" w:rsidTr="005C77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1D" w:rsidRPr="005C771D" w:rsidRDefault="005C771D" w:rsidP="005C771D">
            <w:pPr>
              <w:spacing w:after="6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Symbol" w:eastAsia="Times New Roman" w:hAnsi="Symbol" w:cs="Calibri"/>
                <w:color w:val="202124"/>
                <w:sz w:val="20"/>
                <w:szCs w:val="20"/>
                <w:lang w:eastAsia="en-GB"/>
              </w:rPr>
              <w:t></w:t>
            </w:r>
            <w:r w:rsidRPr="005C771D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GB"/>
              </w:rPr>
              <w:t>        </w:t>
            </w:r>
            <w:r w:rsidRPr="005C771D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>Social, emotional and mental health difficulties.</w:t>
            </w:r>
          </w:p>
          <w:p w:rsidR="005C771D" w:rsidRPr="005C771D" w:rsidRDefault="005C771D" w:rsidP="005C771D">
            <w:pPr>
              <w:spacing w:after="6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Symbol" w:eastAsia="Times New Roman" w:hAnsi="Symbol" w:cs="Calibri"/>
                <w:color w:val="222222"/>
                <w:sz w:val="20"/>
                <w:szCs w:val="20"/>
                <w:lang w:eastAsia="en-GB"/>
              </w:rPr>
              <w:t></w:t>
            </w:r>
            <w:r w:rsidRPr="005C771D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n-GB"/>
              </w:rPr>
              <w:t>        </w:t>
            </w:r>
            <w:r w:rsidRPr="005C771D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1D" w:rsidRPr="005C771D" w:rsidRDefault="005C771D" w:rsidP="005C771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Calibri" w:eastAsia="Times New Roman" w:hAnsi="Calibri" w:cs="Calibri"/>
                <w:color w:val="222222"/>
                <w:lang w:eastAsia="en-GB"/>
              </w:rPr>
              <w:t>2</w:t>
            </w:r>
          </w:p>
        </w:tc>
      </w:tr>
      <w:tr w:rsidR="005C771D" w:rsidRPr="005C771D" w:rsidTr="005C77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1D" w:rsidRPr="005C771D" w:rsidRDefault="005C771D" w:rsidP="005C771D">
            <w:pPr>
              <w:spacing w:after="6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Symbol" w:eastAsia="Times New Roman" w:hAnsi="Symbol" w:cs="Calibri"/>
                <w:color w:val="202124"/>
                <w:sz w:val="20"/>
                <w:szCs w:val="20"/>
                <w:lang w:eastAsia="en-GB"/>
              </w:rPr>
              <w:t></w:t>
            </w:r>
            <w:r w:rsidRPr="005C771D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GB"/>
              </w:rPr>
              <w:t>        </w:t>
            </w:r>
            <w:r w:rsidRPr="005C771D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>Sensory and/or physical needs.</w:t>
            </w:r>
          </w:p>
          <w:p w:rsidR="005C771D" w:rsidRPr="005C771D" w:rsidRDefault="005C771D" w:rsidP="005C771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71D" w:rsidRPr="005C771D" w:rsidRDefault="005C771D" w:rsidP="005C771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5C771D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</w:tr>
    </w:tbl>
    <w:p w:rsidR="005C771D" w:rsidRPr="005C771D" w:rsidRDefault="005C771D" w:rsidP="005C771D">
      <w:pPr>
        <w:shd w:val="clear" w:color="auto" w:fill="FFFFFF"/>
        <w:spacing w:line="235" w:lineRule="atLeast"/>
        <w:rPr>
          <w:rFonts w:eastAsia="Times New Roman" w:cstheme="minorHAnsi"/>
          <w:color w:val="222222"/>
          <w:lang w:eastAsia="en-GB"/>
        </w:rPr>
      </w:pP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 xml:space="preserve">We monitor the quality of this provision through teaching and learning observations and termly review of targets as set out in their SEN Support Plans. </w:t>
      </w: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Teaching Assistant/ Support Staff Deployment: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>Teaching assistants (TAs) are deployed in a number of different roles:</w:t>
      </w:r>
    </w:p>
    <w:p w:rsidR="00B25454" w:rsidRDefault="00A26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1:1 Teaching Assistant for pupils with additional learning difficulties as indicated in their EHCP/Statement. </w:t>
      </w:r>
    </w:p>
    <w:p w:rsidR="00B25454" w:rsidRDefault="00A26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Intervention support for pupils requiring a catch up program to enable them to make progress. </w:t>
      </w:r>
    </w:p>
    <w:p w:rsidR="00B25454" w:rsidRDefault="00A26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Group intervention for pupils in receipt of DPP to develop AFL skills. 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continue to monitor the quality and impact of the provision through performance management reviews, observations and monitoring and meetings with the child, parent and class teacher. </w:t>
      </w:r>
    </w:p>
    <w:p w:rsidR="00B25454" w:rsidRPr="00A066F1" w:rsidRDefault="00A26A0F">
      <w:pPr>
        <w:rPr>
          <w:sz w:val="24"/>
          <w:szCs w:val="24"/>
        </w:rPr>
      </w:pPr>
      <w:r w:rsidRPr="00A066F1">
        <w:rPr>
          <w:b/>
          <w:sz w:val="24"/>
          <w:szCs w:val="24"/>
          <w:u w:val="single"/>
        </w:rPr>
        <w:t>Distribution of Funds for SEN:</w:t>
      </w:r>
      <w:r w:rsidR="00060DA4" w:rsidRPr="00A066F1">
        <w:rPr>
          <w:b/>
          <w:sz w:val="24"/>
          <w:szCs w:val="24"/>
          <w:u w:val="single"/>
        </w:rPr>
        <w:t xml:space="preserve"> </w:t>
      </w:r>
    </w:p>
    <w:p w:rsidR="00B25454" w:rsidRPr="00A066F1" w:rsidRDefault="007678B8">
      <w:pPr>
        <w:rPr>
          <w:sz w:val="24"/>
          <w:szCs w:val="24"/>
        </w:rPr>
      </w:pPr>
      <w:r w:rsidRPr="00A066F1">
        <w:rPr>
          <w:sz w:val="24"/>
          <w:szCs w:val="24"/>
        </w:rPr>
        <w:t>This year the budget for SEN i</w:t>
      </w:r>
      <w:r w:rsidR="00A26A0F" w:rsidRPr="00A066F1">
        <w:rPr>
          <w:sz w:val="24"/>
          <w:szCs w:val="24"/>
        </w:rPr>
        <w:t>s £</w:t>
      </w:r>
      <w:r w:rsidRPr="00A066F1">
        <w:rPr>
          <w:sz w:val="24"/>
          <w:szCs w:val="24"/>
        </w:rPr>
        <w:t>29,500</w:t>
      </w:r>
      <w:r w:rsidR="00A26A0F" w:rsidRPr="00A066F1">
        <w:rPr>
          <w:sz w:val="24"/>
          <w:szCs w:val="24"/>
        </w:rPr>
        <w:t xml:space="preserve"> </w:t>
      </w:r>
    </w:p>
    <w:p w:rsidR="00B25454" w:rsidRPr="00A066F1" w:rsidRDefault="007678B8">
      <w:pPr>
        <w:rPr>
          <w:sz w:val="24"/>
          <w:szCs w:val="24"/>
        </w:rPr>
      </w:pPr>
      <w:r w:rsidRPr="00A066F1">
        <w:rPr>
          <w:sz w:val="24"/>
          <w:szCs w:val="24"/>
        </w:rPr>
        <w:t>This ha</w:t>
      </w:r>
      <w:r w:rsidR="00A26A0F" w:rsidRPr="00A066F1">
        <w:rPr>
          <w:sz w:val="24"/>
          <w:szCs w:val="24"/>
        </w:rPr>
        <w:t xml:space="preserve">s </w:t>
      </w:r>
      <w:r w:rsidRPr="00A066F1">
        <w:rPr>
          <w:sz w:val="24"/>
          <w:szCs w:val="24"/>
        </w:rPr>
        <w:t xml:space="preserve">been </w:t>
      </w:r>
      <w:r w:rsidR="00A26A0F" w:rsidRPr="00A066F1">
        <w:rPr>
          <w:sz w:val="24"/>
          <w:szCs w:val="24"/>
        </w:rPr>
        <w:t>allocated in the following ways:</w:t>
      </w:r>
    </w:p>
    <w:p w:rsidR="00B25454" w:rsidRPr="00A066F1" w:rsidRDefault="007678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66F1">
        <w:rPr>
          <w:sz w:val="24"/>
          <w:szCs w:val="24"/>
        </w:rPr>
        <w:t>Support Staff - £11,608</w:t>
      </w:r>
    </w:p>
    <w:p w:rsidR="00B25454" w:rsidRPr="00A066F1" w:rsidRDefault="007678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66F1">
        <w:rPr>
          <w:sz w:val="24"/>
          <w:szCs w:val="24"/>
        </w:rPr>
        <w:t>External agencies e.g. EP, Support Worker - £1,950</w:t>
      </w:r>
    </w:p>
    <w:p w:rsidR="00B25454" w:rsidRPr="00A066F1" w:rsidRDefault="00A26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66F1">
        <w:rPr>
          <w:sz w:val="24"/>
          <w:szCs w:val="24"/>
        </w:rPr>
        <w:t>Teaching and learning resources - £</w:t>
      </w:r>
      <w:r w:rsidR="007678B8" w:rsidRPr="00A066F1">
        <w:rPr>
          <w:sz w:val="24"/>
          <w:szCs w:val="24"/>
        </w:rPr>
        <w:t>3,000</w:t>
      </w:r>
    </w:p>
    <w:p w:rsidR="00B25454" w:rsidRPr="00A066F1" w:rsidRDefault="00A26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66F1">
        <w:rPr>
          <w:sz w:val="24"/>
          <w:szCs w:val="24"/>
        </w:rPr>
        <w:t>Staff training -</w:t>
      </w:r>
      <w:r w:rsidR="007678B8" w:rsidRPr="00A066F1">
        <w:rPr>
          <w:sz w:val="24"/>
          <w:szCs w:val="24"/>
        </w:rPr>
        <w:t xml:space="preserve"> </w:t>
      </w:r>
      <w:r w:rsidRPr="00A066F1">
        <w:rPr>
          <w:sz w:val="24"/>
          <w:szCs w:val="24"/>
        </w:rPr>
        <w:t>£500</w:t>
      </w:r>
    </w:p>
    <w:p w:rsidR="00B25454" w:rsidRPr="00A066F1" w:rsidRDefault="00A066F1" w:rsidP="00A066F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SENCo</w:t>
      </w:r>
      <w:r w:rsidR="00A26A0F" w:rsidRPr="00A066F1">
        <w:rPr>
          <w:sz w:val="24"/>
          <w:szCs w:val="24"/>
        </w:rPr>
        <w:t xml:space="preserve"> time -</w:t>
      </w:r>
      <w:r w:rsidR="007678B8" w:rsidRPr="00A066F1">
        <w:rPr>
          <w:sz w:val="24"/>
          <w:szCs w:val="24"/>
        </w:rPr>
        <w:t>£ 12,442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 xml:space="preserve">We monitor the impact of training by SEN Governor visits, SIP visits, observations of the teaching and learning. </w:t>
      </w: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Partnerships with other school and how we manage transitions: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>We work with a number of schools in the following ways:</w:t>
      </w:r>
    </w:p>
    <w:p w:rsidR="00B25454" w:rsidRDefault="00A26A0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SENCo is part of a group of a cluster of schools that meet termly to share best practise and develop training</w:t>
      </w:r>
    </w:p>
    <w:p w:rsidR="00B25454" w:rsidRDefault="00A26A0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Transition meetings are held with the pre-school and secondary school SENcos to inform on SEN pupils joining and leaving the school. </w:t>
      </w:r>
    </w:p>
    <w:p w:rsidR="00B25454" w:rsidRDefault="00A26A0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Home-school visits</w:t>
      </w:r>
    </w:p>
    <w:p w:rsidR="00B25454" w:rsidRDefault="00A26A0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Early transition visits to secondary school in Y5</w:t>
      </w:r>
    </w:p>
    <w:p w:rsidR="00A26A0F" w:rsidRDefault="00A26A0F">
      <w:pPr>
        <w:rPr>
          <w:b/>
          <w:sz w:val="24"/>
          <w:szCs w:val="24"/>
          <w:u w:val="single"/>
        </w:rPr>
      </w:pP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Ongoing Development: </w:t>
      </w:r>
    </w:p>
    <w:p w:rsidR="00D14BC7" w:rsidRDefault="00A26A0F">
      <w:pPr>
        <w:rPr>
          <w:sz w:val="24"/>
          <w:szCs w:val="24"/>
        </w:rPr>
      </w:pPr>
      <w:r>
        <w:rPr>
          <w:sz w:val="24"/>
          <w:szCs w:val="24"/>
        </w:rPr>
        <w:t xml:space="preserve">We work hard to ensure all learners are supported and that strategies are identified and put into place. This is reflected in the School Development Plan and SEN Action Plan. </w:t>
      </w:r>
    </w:p>
    <w:p w:rsidR="00D14BC7" w:rsidRPr="00D14BC7" w:rsidRDefault="00D14BC7" w:rsidP="00D14BC7">
      <w:pPr>
        <w:rPr>
          <w:b/>
          <w:sz w:val="24"/>
          <w:szCs w:val="24"/>
          <w:u w:val="single"/>
        </w:rPr>
      </w:pPr>
      <w:r w:rsidRPr="00D14BC7">
        <w:rPr>
          <w:b/>
          <w:sz w:val="24"/>
          <w:szCs w:val="24"/>
          <w:u w:val="single"/>
        </w:rPr>
        <w:t>What is the admission criteria for children with SENd?</w:t>
      </w:r>
    </w:p>
    <w:p w:rsidR="00D14BC7" w:rsidRDefault="00D14BC7">
      <w:pPr>
        <w:rPr>
          <w:sz w:val="24"/>
          <w:szCs w:val="24"/>
        </w:rPr>
      </w:pPr>
      <w:r w:rsidRPr="00D14BC7">
        <w:rPr>
          <w:sz w:val="24"/>
          <w:szCs w:val="24"/>
        </w:rPr>
        <w:t xml:space="preserve">Places will first be offered to children with a Statements of Special Educational Needs or Education Health and Care </w:t>
      </w:r>
      <w:r w:rsidR="005C771D" w:rsidRPr="00D14BC7">
        <w:rPr>
          <w:sz w:val="24"/>
          <w:szCs w:val="24"/>
        </w:rPr>
        <w:t>Plan that</w:t>
      </w:r>
      <w:r w:rsidRPr="00D14BC7">
        <w:rPr>
          <w:sz w:val="24"/>
          <w:szCs w:val="24"/>
        </w:rPr>
        <w:t xml:space="preserve"> names the school. These children will be included in the overall admission number of the school.  </w:t>
      </w: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Our Complaints Procedure:</w:t>
      </w: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Anyone wishing to make a complaint with regard to out SEN Support and provision should discuss their concerns with the SENco and then if necessary refer to the school’s complaint </w:t>
      </w:r>
      <w:r w:rsidR="00CE23BD">
        <w:rPr>
          <w:sz w:val="24"/>
          <w:szCs w:val="24"/>
        </w:rPr>
        <w:t>policy, which</w:t>
      </w:r>
      <w:r>
        <w:rPr>
          <w:sz w:val="24"/>
          <w:szCs w:val="24"/>
        </w:rPr>
        <w:t xml:space="preserve"> can be found on our school website.</w:t>
      </w:r>
    </w:p>
    <w:p w:rsidR="00B25454" w:rsidRDefault="00A26A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relevant information and documents: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>The Designated Safeguarding Lead in our school is Alistair Johnson.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Designated Children in Care teacher is Nadia Lampier</w:t>
      </w:r>
      <w:r w:rsidR="00060DA4">
        <w:rPr>
          <w:sz w:val="24"/>
          <w:szCs w:val="24"/>
        </w:rPr>
        <w:t xml:space="preserve"> </w:t>
      </w:r>
    </w:p>
    <w:p w:rsidR="00B25454" w:rsidRDefault="00A26A0F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The Local Authority’s Offer can be found at </w:t>
      </w:r>
      <w:hyperlink r:id="rId7" w:history="1">
        <w:r>
          <w:rPr>
            <w:rStyle w:val="Hyperlink"/>
            <w:sz w:val="24"/>
            <w:szCs w:val="24"/>
          </w:rPr>
          <w:t>www.cornwallfisdirectory.org.uk</w:t>
        </w:r>
      </w:hyperlink>
    </w:p>
    <w:p w:rsidR="00EA0312" w:rsidRPr="00EA0312" w:rsidRDefault="00EA0312">
      <w:pPr>
        <w:rPr>
          <w:rStyle w:val="Hyperlink"/>
        </w:rPr>
      </w:pPr>
      <w:r w:rsidRPr="00EA0312">
        <w:rPr>
          <w:sz w:val="24"/>
          <w:szCs w:val="24"/>
        </w:rPr>
        <w:t xml:space="preserve"> The Cornwall Council Local SEN offer at Perranporth school</w:t>
      </w:r>
      <w:r>
        <w:rPr>
          <w:rStyle w:val="Hyperlink"/>
          <w:sz w:val="24"/>
          <w:szCs w:val="24"/>
        </w:rPr>
        <w:t xml:space="preserve">  - </w:t>
      </w:r>
      <w:r w:rsidR="005C771D">
        <w:rPr>
          <w:sz w:val="24"/>
          <w:szCs w:val="24"/>
        </w:rPr>
        <w:t>SEND Local Offer 2021</w:t>
      </w:r>
      <w:bookmarkStart w:id="0" w:name="_GoBack"/>
      <w:bookmarkEnd w:id="0"/>
      <w:r w:rsidRPr="00EA0312">
        <w:rPr>
          <w:rStyle w:val="Hyperlink"/>
          <w:sz w:val="24"/>
          <w:szCs w:val="24"/>
        </w:rPr>
        <w:t> 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 xml:space="preserve">A Copy of our School Development Plan can be obtained from the school office. </w:t>
      </w:r>
    </w:p>
    <w:p w:rsidR="00B25454" w:rsidRDefault="00A26A0F">
      <w:pPr>
        <w:rPr>
          <w:sz w:val="24"/>
          <w:szCs w:val="24"/>
        </w:rPr>
      </w:pPr>
      <w:r>
        <w:rPr>
          <w:sz w:val="24"/>
          <w:szCs w:val="24"/>
        </w:rPr>
        <w:t xml:space="preserve">Date of Report: </w:t>
      </w:r>
      <w:r w:rsidR="005C771D">
        <w:rPr>
          <w:sz w:val="24"/>
          <w:szCs w:val="24"/>
        </w:rPr>
        <w:t>July 2021</w:t>
      </w:r>
    </w:p>
    <w:sectPr w:rsidR="00B25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54" w:rsidRDefault="00A26A0F">
      <w:pPr>
        <w:spacing w:after="0" w:line="240" w:lineRule="auto"/>
      </w:pPr>
      <w:r>
        <w:separator/>
      </w:r>
    </w:p>
  </w:endnote>
  <w:endnote w:type="continuationSeparator" w:id="0">
    <w:p w:rsidR="00B25454" w:rsidRDefault="00A2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54" w:rsidRDefault="00A26A0F">
      <w:pPr>
        <w:spacing w:after="0" w:line="240" w:lineRule="auto"/>
      </w:pPr>
      <w:r>
        <w:separator/>
      </w:r>
    </w:p>
  </w:footnote>
  <w:footnote w:type="continuationSeparator" w:id="0">
    <w:p w:rsidR="00B25454" w:rsidRDefault="00A2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510"/>
    <w:multiLevelType w:val="hybridMultilevel"/>
    <w:tmpl w:val="649E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1D64"/>
    <w:multiLevelType w:val="hybridMultilevel"/>
    <w:tmpl w:val="683E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E2EC9"/>
    <w:multiLevelType w:val="hybridMultilevel"/>
    <w:tmpl w:val="03508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65927"/>
    <w:multiLevelType w:val="hybridMultilevel"/>
    <w:tmpl w:val="F6F6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C208F"/>
    <w:multiLevelType w:val="hybridMultilevel"/>
    <w:tmpl w:val="66B8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F0D86"/>
    <w:multiLevelType w:val="hybridMultilevel"/>
    <w:tmpl w:val="0AA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55FA7"/>
    <w:multiLevelType w:val="hybridMultilevel"/>
    <w:tmpl w:val="7A129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54"/>
    <w:rsid w:val="0005618D"/>
    <w:rsid w:val="00060DA4"/>
    <w:rsid w:val="0025435D"/>
    <w:rsid w:val="00371A13"/>
    <w:rsid w:val="005C771D"/>
    <w:rsid w:val="007678B8"/>
    <w:rsid w:val="00A066F1"/>
    <w:rsid w:val="00A26A0F"/>
    <w:rsid w:val="00B25454"/>
    <w:rsid w:val="00CE23BD"/>
    <w:rsid w:val="00D041B3"/>
    <w:rsid w:val="00D14BC7"/>
    <w:rsid w:val="00D86D35"/>
    <w:rsid w:val="00E71269"/>
    <w:rsid w:val="00E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CC2E90"/>
  <w15:chartTrackingRefBased/>
  <w15:docId w15:val="{16A04946-4EE7-4095-8EFB-E0283C97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llowedHyperlink">
    <w:name w:val="FollowedHyperlink"/>
    <w:basedOn w:val="DefaultParagraphFont"/>
    <w:uiPriority w:val="99"/>
    <w:semiHidden/>
    <w:unhideWhenUsed/>
    <w:rsid w:val="00EA0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nwallfisdirector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Perranporth CP School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Lampier</dc:creator>
  <cp:keywords/>
  <dc:description/>
  <cp:lastModifiedBy>Nadia Lampier</cp:lastModifiedBy>
  <cp:revision>2</cp:revision>
  <dcterms:created xsi:type="dcterms:W3CDTF">2021-07-15T10:03:00Z</dcterms:created>
  <dcterms:modified xsi:type="dcterms:W3CDTF">2021-07-15T10:03:00Z</dcterms:modified>
</cp:coreProperties>
</file>